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A" w:rsidRDefault="00113C5A" w:rsidP="00AC35C4">
      <w:pPr>
        <w:pStyle w:val="F2-zkladn"/>
        <w:rPr>
          <w:b/>
          <w:sz w:val="28"/>
          <w:szCs w:val="28"/>
        </w:rPr>
      </w:pPr>
    </w:p>
    <w:p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:rsidR="000A2833" w:rsidRPr="009C3DB4" w:rsidRDefault="00BE7B01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DE7FF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2833" w:rsidRPr="00B362ED" w:rsidRDefault="00BE7B01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103186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 xml:space="preserve">Praha, </w:t>
      </w:r>
      <w:r w:rsidR="005F6731">
        <w:t>16</w:t>
      </w:r>
      <w:r w:rsidR="00A30105">
        <w:t xml:space="preserve">. </w:t>
      </w:r>
      <w:r w:rsidR="005F6731">
        <w:t>června</w:t>
      </w:r>
      <w:r w:rsidR="00A30105">
        <w:t xml:space="preserve"> 20</w:t>
      </w:r>
      <w:r w:rsidR="005F6731">
        <w:t>20</w:t>
      </w:r>
    </w:p>
    <w:p w:rsidR="00EF63FA" w:rsidRDefault="00EF63FA" w:rsidP="004F7624">
      <w:pPr>
        <w:pStyle w:val="FormtovanvHTML"/>
        <w:shd w:val="clear" w:color="auto" w:fill="FFFFFF"/>
        <w:rPr>
          <w:rFonts w:ascii="Arial" w:hAnsi="Arial" w:cs="Arial"/>
          <w:b/>
          <w:sz w:val="28"/>
          <w:szCs w:val="28"/>
          <w:lang w:val="cs-CZ" w:eastAsia="cs-CZ"/>
        </w:rPr>
      </w:pPr>
      <w:r w:rsidRPr="00EF63FA">
        <w:rPr>
          <w:rFonts w:ascii="Arial" w:hAnsi="Arial" w:cs="Arial"/>
          <w:b/>
          <w:sz w:val="28"/>
          <w:szCs w:val="28"/>
          <w:lang w:val="cs-CZ" w:eastAsia="cs-CZ"/>
        </w:rPr>
        <w:t>Analýza Fidelity International: GRANOLAS představují příležitost v evropských akciích</w:t>
      </w:r>
    </w:p>
    <w:p w:rsidR="00EF63FA" w:rsidRDefault="00EF63FA" w:rsidP="00A30105">
      <w:pPr>
        <w:pStyle w:val="F2-zkladn"/>
        <w:tabs>
          <w:tab w:val="right" w:pos="9070"/>
        </w:tabs>
        <w:rPr>
          <w:b/>
          <w:lang w:val="x-none" w:eastAsia="x-none"/>
        </w:rPr>
      </w:pPr>
      <w:r w:rsidRPr="00EF63FA">
        <w:rPr>
          <w:b/>
          <w:lang w:val="x-none" w:eastAsia="x-none"/>
        </w:rPr>
        <w:t>Pandemie Covid-19 posílila některé trendy z posledních let. Na pořadu dne je digitalizace, inovace nebo možné přeskupení dodavatelských řetězců. To vše bude mít výrazný dopad na společnosti v Evropě a zejména na ty, kt</w:t>
      </w:r>
      <w:r w:rsidR="00B92746">
        <w:rPr>
          <w:b/>
          <w:lang w:val="x-none" w:eastAsia="x-none"/>
        </w:rPr>
        <w:t>eré jsou považovány za GRANOLAS</w:t>
      </w:r>
      <w:r w:rsidRPr="00EF63FA">
        <w:rPr>
          <w:b/>
          <w:lang w:val="x-none" w:eastAsia="x-none"/>
        </w:rPr>
        <w:t>. Stejně jako úspěšné americké akcie FAANG se podle analýzy Fidelity International evropské společnosti GRANOLAS jeví v současném tržním prostředí jako klíčové pro úspěšné investice. Profitují i v současné koronavirové krizi a měly by se ukázat jako dlouhodobí vítězové. Fidelity International u nich předpokládá dosažení robustního dlouhodobého výkonu.</w:t>
      </w:r>
    </w:p>
    <w:p w:rsidR="00EF63FA" w:rsidRDefault="00EF63FA" w:rsidP="00EF63FA">
      <w:pPr>
        <w:pStyle w:val="F2-zkladn"/>
        <w:tabs>
          <w:tab w:val="right" w:pos="9070"/>
        </w:tabs>
      </w:pPr>
      <w:r>
        <w:t>Zkratka GRANOLAS, k</w:t>
      </w:r>
      <w:r w:rsidR="00B92746">
        <w:t>terou vytvořili v Goldman Sachs</w:t>
      </w:r>
      <w:r>
        <w:t>,</w:t>
      </w:r>
      <w:r w:rsidR="00B92746">
        <w:rPr>
          <w:rStyle w:val="Znakapoznpodarou"/>
        </w:rPr>
        <w:footnoteReference w:id="2"/>
      </w:r>
      <w:r>
        <w:t xml:space="preserve"> označuje akcie některých z největších evropských společností s výrazně méně cyklickými obchodními modely. Jedná se o tzv. kvalitní společnosti se strukturálním růstem, silnými rozvahami, nízkou úrovní zadlužení, robustními zisky, a tedy pravidelnými a stabilními cash flow. GRANOLAS představují největší evropské společnosti podle tržní kapitalizace, které jsou součástí zdravotnictví, spotřebního zboží a technologií: Glaxosmithkline; Roche; ASML; Nestlé, Novartis, Novo Nordisk; L´Oréal, LVMH; Astrazeneca; SAP, Sanofi.</w:t>
      </w:r>
      <w:r w:rsidR="00FF272B">
        <w:rPr>
          <w:rStyle w:val="Znakapoznpodarou"/>
        </w:rPr>
        <w:footnoteReference w:id="3"/>
      </w:r>
    </w:p>
    <w:p w:rsidR="00EF63FA" w:rsidRDefault="00EF63FA" w:rsidP="00EF63FA">
      <w:pPr>
        <w:pStyle w:val="F2-zkladn"/>
        <w:tabs>
          <w:tab w:val="right" w:pos="9070"/>
        </w:tabs>
      </w:pPr>
      <w:r w:rsidRPr="00EF63FA">
        <w:rPr>
          <w:i/>
        </w:rPr>
        <w:t>„U této třídy aktiv vnímáme jejich atraktivitu ze dvou hlavních důvodů: diverzifikace a ocenění. Evropa čelí řadě rizik v souvislosti s italský dluhem, Brexitem a migrační krizí a investoři mají důvody k obezřetnosti. Avšak jako třída aktiv jsou evropské akcie mnohem méně závislé přímo na Evropě a její politice a ekonomice, než by se zdálo</w:t>
      </w:r>
      <w:r>
        <w:t>,“ vysvětluje</w:t>
      </w:r>
      <w:r w:rsidR="00C816AE">
        <w:t xml:space="preserve"> </w:t>
      </w:r>
      <w:r w:rsidR="00C816AE" w:rsidRPr="00C816AE">
        <w:t>Natalie Brigg</w:t>
      </w:r>
      <w:r w:rsidR="00C816AE">
        <w:t>s</w:t>
      </w:r>
      <w:r w:rsidR="00B92746">
        <w:t>,</w:t>
      </w:r>
      <w:r w:rsidR="00C816AE">
        <w:t xml:space="preserve"> </w:t>
      </w:r>
      <w:r w:rsidR="00C816AE">
        <w:rPr>
          <w:lang w:val="de-DE" w:eastAsia="zh-CN"/>
        </w:rPr>
        <w:t>Investment Specialist Europe</w:t>
      </w:r>
      <w:r>
        <w:t xml:space="preserve"> Fidelity International. Pouze jedna třetina p</w:t>
      </w:r>
      <w:r w:rsidR="002E66D6">
        <w:t>říjmů generovaných evropskými kó</w:t>
      </w:r>
      <w:r>
        <w:t>tovanými akciemi pochází z regionu, stejný podíl na výnosech představují rozvíjející se trhy a USA. Ačkoli nemá evropský trh rychle rostoucí společnosti či technologické giganty jako USA, jsou zd</w:t>
      </w:r>
      <w:r w:rsidR="002E66D6">
        <w:t>e světové společnosti nejlepší</w:t>
      </w:r>
      <w:r>
        <w:t xml:space="preserve"> ve své třídě, </w:t>
      </w:r>
      <w:r w:rsidR="002E66D6">
        <w:t>které mají centrálu nebo jsou kó</w:t>
      </w:r>
      <w:r>
        <w:t>tované v</w:t>
      </w:r>
      <w:r w:rsidR="002E66D6">
        <w:t> </w:t>
      </w:r>
      <w:r>
        <w:t>Evropě</w:t>
      </w:r>
      <w:r w:rsidR="002E66D6">
        <w:t>. T</w:t>
      </w:r>
      <w:r>
        <w:t>ěží z kvalitní regulace a likvidity, kterou region umožňuje. Jména jako GlaxoSmithKline, Nestle, Roche a SAP jsou kótovaná v Evropě, ale většina jejich příjmů pochází z oblastí mimo tento region a jsou v tomto smyslu skutečně globálními akciemi se slušnými vlastnostmi. Jedná o jména se stabilními rozvahami, silnými franšízami a profily výnosů, které odolávají bouřím na trhu.</w:t>
      </w:r>
    </w:p>
    <w:p w:rsidR="00EF63FA" w:rsidRDefault="00EF63FA" w:rsidP="00EF63FA">
      <w:pPr>
        <w:pStyle w:val="F2-zkladn"/>
        <w:tabs>
          <w:tab w:val="right" w:pos="9070"/>
        </w:tabs>
      </w:pPr>
      <w:r>
        <w:t xml:space="preserve">Volatilita vlivem Covid-19 vedla k strmému propadu ekonomicky citlivých odvětví a i po částečném zotavení jsou evropské akcie z agregovaného pohledu podhodnoceny. Rozdíl mezi akciovými výnosy a výnosy dluhopisů dosáhl v březnu téměř stejně vysokých hodnot jako v době celosvětové finanční krize a navzdory oživení trhu zůstává na zvýšené úrovni. Evropské akcie se ukazují jako levné, mezera mezi americkými a evropskými rizikovými prémiemi (rozdíl mezi akciovými výnosy a výnosy dluhopisů) se v </w:t>
      </w:r>
      <w:r>
        <w:lastRenderedPageBreak/>
        <w:t>průběhu posledního desetiletí tolik rozšířila, protože americké akcie překvapily výkonností a zvýšily se valuace mezi regiony. Vzhledem ke skutečně globální povaze evropského trhu a kvalitě mnoha světových jmen je tento posun extrémní. Evropské akcie nejsou jen levné oproti dluhopisům, ale mají ve srovnání s americkými protějšky také dobrou hodnotu. „</w:t>
      </w:r>
      <w:r w:rsidRPr="00EF63FA">
        <w:rPr>
          <w:i/>
        </w:rPr>
        <w:t>Síla nabídky evropských titulů společnosti Fidelity International spočívá ve výzkumu, který nám umožňuje identifikovat dlouhodobé vítěze v oblastech, které byly na trhu špatně odhadnuty. Aktivní investoři mohou využít období paniky a prudkých cenových výkyvů s tím souvisejících k nákupu podílů pod jejich vnitřní hodnotou, což je hlavní faktor, který určuje jejich výnosnost v čase</w:t>
      </w:r>
      <w:r>
        <w:t xml:space="preserve">,“ přibližuje </w:t>
      </w:r>
      <w:r w:rsidR="009D301A" w:rsidRPr="009D301A">
        <w:t>Natalie Brigg</w:t>
      </w:r>
      <w:r w:rsidR="00C816AE">
        <w:t>s.</w:t>
      </w:r>
    </w:p>
    <w:p w:rsidR="009D301A" w:rsidRPr="009D301A" w:rsidRDefault="009D301A" w:rsidP="009D301A">
      <w:pPr>
        <w:spacing w:after="210" w:line="240" w:lineRule="auto"/>
      </w:pPr>
      <w:r>
        <w:t xml:space="preserve">Obrázek: </w:t>
      </w:r>
      <w:r w:rsidRPr="009D301A">
        <w:t>Evropské akcie vypadají oproti dluhopisům levně a mají lepší hodnotu než americké akcie</w:t>
      </w:r>
    </w:p>
    <w:p w:rsidR="009D301A" w:rsidRPr="00CA6FAF" w:rsidRDefault="009D301A" w:rsidP="009D301A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CA6F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D27E4B" wp14:editId="4443C781">
            <wp:extent cx="5731510" cy="2505075"/>
            <wp:effectExtent l="0" t="0" r="254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1A" w:rsidRPr="009D301A" w:rsidRDefault="009D301A" w:rsidP="009D3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  <w:vertAlign w:val="subscript"/>
        </w:rPr>
        <w:t>Zdroj</w:t>
      </w:r>
      <w:r w:rsidRPr="00CA6FAF">
        <w:rPr>
          <w:rFonts w:ascii="Times New Roman" w:hAnsi="Times New Roman" w:cs="Times New Roman"/>
          <w:sz w:val="18"/>
          <w:szCs w:val="18"/>
          <w:vertAlign w:val="subscript"/>
        </w:rPr>
        <w:t>: Fidelity International, Refinitiv DataStream, 30</w:t>
      </w:r>
      <w:r>
        <w:rPr>
          <w:rFonts w:ascii="Times New Roman" w:hAnsi="Times New Roman" w:cs="Times New Roman"/>
          <w:sz w:val="18"/>
          <w:szCs w:val="18"/>
          <w:vertAlign w:val="subscript"/>
        </w:rPr>
        <w:t>. dubna</w:t>
      </w:r>
      <w:r w:rsidRPr="00CA6FAF">
        <w:rPr>
          <w:rFonts w:ascii="Times New Roman" w:hAnsi="Times New Roman" w:cs="Times New Roman"/>
          <w:sz w:val="18"/>
          <w:szCs w:val="18"/>
          <w:vertAlign w:val="subscript"/>
        </w:rPr>
        <w:t xml:space="preserve"> 2020</w:t>
      </w:r>
    </w:p>
    <w:p w:rsidR="00A30105" w:rsidRDefault="00EF63FA" w:rsidP="00EF63FA">
      <w:pPr>
        <w:pStyle w:val="F2-zkladn"/>
        <w:tabs>
          <w:tab w:val="right" w:pos="9070"/>
        </w:tabs>
      </w:pPr>
      <w:r>
        <w:t>Investoři navíc požadují větší zaměření na udržitelnost. Mnoho velkých evropských společností aplikuje zásady udržitelnosti už celá desetiletí</w:t>
      </w:r>
      <w:r w:rsidR="002E66D6">
        <w:t>,</w:t>
      </w:r>
      <w:bookmarkStart w:id="0" w:name="_GoBack"/>
      <w:bookmarkEnd w:id="0"/>
      <w:r>
        <w:t xml:space="preserve"> a jsou tak napřed před asijskými a severoamerickými protějšky. Evropské společnosti jsou z hlediska ESG nejlepší na světě. Společnosti s nižším rizikovým profilem a lepším skóre udržitelnosti mají nižší kapitálové náklady. Je pravděpodobné, že počet evropských akciových fondů věnovaných investování do ESG se bude i nadále zvyšovat, a poptávka po těchto fondech poroste s tím, jak kolem roku 2030 začnou více investovat lidé z generace mileniálů. To je dlouhodobě potenciální hnací motor kapitálu v regionu.</w:t>
      </w:r>
    </w:p>
    <w:p w:rsidR="00073A88" w:rsidRDefault="00073A88" w:rsidP="00AC35C4">
      <w:pPr>
        <w:pStyle w:val="F2-zkladn"/>
        <w:tabs>
          <w:tab w:val="right" w:pos="9070"/>
        </w:tabs>
        <w:rPr>
          <w:b/>
        </w:rPr>
      </w:pPr>
    </w:p>
    <w:p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:rsidR="001A0CB6" w:rsidRPr="009C3DB4" w:rsidRDefault="001A0CB6" w:rsidP="00AC35C4">
      <w:pPr>
        <w:spacing w:before="0" w:line="360" w:lineRule="auto"/>
        <w:rPr>
          <w:b/>
        </w:rPr>
      </w:pPr>
    </w:p>
    <w:p w:rsidR="001A0CB6" w:rsidRPr="009C3DB4" w:rsidRDefault="001A0CB6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:rsidR="001A0CB6" w:rsidRPr="009C3DB4" w:rsidRDefault="001A0CB6" w:rsidP="00AC35C4">
      <w:pPr>
        <w:spacing w:before="0" w:line="240" w:lineRule="atLeast"/>
      </w:pPr>
    </w:p>
    <w:p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:rsidR="001A0CB6" w:rsidRPr="009C3DB4" w:rsidRDefault="001A0CB6" w:rsidP="00AC35C4">
      <w:pPr>
        <w:spacing w:before="0" w:line="240" w:lineRule="atLeast"/>
      </w:pPr>
      <w:r w:rsidRPr="009C3DB4">
        <w:t>gsm: + 420 731 613 669</w:t>
      </w:r>
    </w:p>
    <w:p w:rsidR="001A0CB6" w:rsidRPr="009C3DB4" w:rsidRDefault="008D4D30" w:rsidP="00AC35C4">
      <w:pPr>
        <w:spacing w:before="0" w:line="240" w:lineRule="atLeast"/>
      </w:pPr>
      <w:hyperlink w:tooltip="blocked::http://www.crestcom.cz&#10;http://www.crestcom.cz/" w:history="1">
        <w:r w:rsidR="001A0CB6" w:rsidRPr="009C3DB4">
          <w:rPr>
            <w:rStyle w:val="Hypertextovodkaz"/>
            <w:color w:val="990033"/>
          </w:rPr>
          <w:t>www.crestcom.cz</w:t>
        </w:r>
      </w:hyperlink>
    </w:p>
    <w:p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10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r w:rsidRPr="008F1A81">
        <w:rPr>
          <w:b/>
          <w:sz w:val="18"/>
        </w:rPr>
        <w:lastRenderedPageBreak/>
        <w:t xml:space="preserve">Fidelity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(assets under administration)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Fidelity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>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 xml:space="preserve">FIL (Luxembourg) S.A. Zweigniederlassung Wien, Mariahilfer Straße 36, 1070 Vídeň, IČO: FN 374007 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>Notes to editors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authorised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Fidelity only offers information on products and services and does not provide investment advice based on individual circumstances, other than when specifically stipulated by an appropriately authorised firm, in a formal communication with the client.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organisation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authorised for distribution or where no such authorisation is required.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>, FIL (Luxembourg) S.A. 2a, rue Albert Borschette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Schottengasse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>: Our Paying agent UniCredit Bank Czech Republic a.s., Zeletavska 1525/1, 14092 Prag 4 - Michle,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authorised and supervised by the AMF (Autorité des Marchés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> FIL Investment Services GmbH, Postfach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Zentralbank Österreich AG, Akademia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>: FIL (Luxembourg) S.A., Netherlands Branch (registered with the AFM), World Trade Centre, Tower H, 6th Floor, Zuidplein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a.s., Sancova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>, authorised and supervised by the CSSF (Commission de</w:t>
      </w:r>
    </w:p>
    <w:p w:rsidR="00645857" w:rsidRPr="00A30105" w:rsidRDefault="00A82FF0" w:rsidP="00A3010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Surveillance du Secteur Financier) / FIL Gestion, authorised and supervised by the AMF (Autorité des Marchés Financiers) / FIL Investments Services GmbH.</w:t>
      </w:r>
    </w:p>
    <w:sectPr w:rsidR="00645857" w:rsidRPr="00A30105" w:rsidSect="002F1160">
      <w:headerReference w:type="default" r:id="rId11"/>
      <w:footerReference w:type="default" r:id="rId12"/>
      <w:headerReference w:type="first" r:id="rId13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30" w:rsidRDefault="008D4D30">
      <w:r>
        <w:separator/>
      </w:r>
    </w:p>
  </w:endnote>
  <w:endnote w:type="continuationSeparator" w:id="0">
    <w:p w:rsidR="008D4D30" w:rsidRDefault="008D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30" w:rsidRDefault="008D4D30">
      <w:r>
        <w:separator/>
      </w:r>
    </w:p>
  </w:footnote>
  <w:footnote w:type="continuationSeparator" w:id="0">
    <w:p w:rsidR="008D4D30" w:rsidRDefault="008D4D30">
      <w:r>
        <w:continuationSeparator/>
      </w:r>
    </w:p>
  </w:footnote>
  <w:footnote w:type="continuationNotice" w:id="1">
    <w:p w:rsidR="008D4D30" w:rsidRDefault="008D4D30"/>
  </w:footnote>
  <w:footnote w:id="2">
    <w:p w:rsidR="00B92746" w:rsidRDefault="00B927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color w:val="444444"/>
          <w:sz w:val="17"/>
          <w:szCs w:val="17"/>
        </w:rPr>
        <w:t xml:space="preserve">Goldman Sachs, Strategy Espresso: Healthy as GRANOLAS - 30 April 2020; </w:t>
      </w:r>
      <w:hyperlink r:id="rId1" w:tgtFrame="_blank" w:history="1">
        <w:r>
          <w:rPr>
            <w:rStyle w:val="Hypertextovodkaz"/>
            <w:sz w:val="17"/>
            <w:szCs w:val="17"/>
          </w:rPr>
          <w:t>“Move Over, FAANGs. Goldman Unveils Europe’s ‘GRANOLAS’ Stocks”, Bloomberg.com - 28 April 2020</w:t>
        </w:r>
      </w:hyperlink>
    </w:p>
  </w:footnote>
  <w:footnote w:id="3">
    <w:p w:rsidR="00FF272B" w:rsidRDefault="00FF27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92746">
        <w:rPr>
          <w:color w:val="444444"/>
          <w:sz w:val="17"/>
          <w:szCs w:val="17"/>
        </w:rPr>
        <w:t>Tamtéž.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BE7B01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0"/>
          <wp:wrapSquare wrapText="bothSides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343" w:rsidRDefault="001D1343">
    <w:pPr>
      <w:pStyle w:val="Zhlav"/>
    </w:pPr>
  </w:p>
  <w:p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B4F0F546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0584FF3A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DF7AC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2E0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49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6C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E2D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8AC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CA8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 w:tplc="66CC1148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35A42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667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4A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2A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84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C69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C6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463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83657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E66D6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2E5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7624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5F6731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4D30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01A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0105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2746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E7B01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16AE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216E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63FA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72B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2825C-D555-4D1F-A430-AF1F017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  <w:lang w:eastAsia="cs-CZ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  <w:lang w:eastAsia="cs-CZ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  <w:style w:type="paragraph" w:styleId="Textvysvtlivek">
    <w:name w:val="endnote text"/>
    <w:basedOn w:val="Normln"/>
    <w:link w:val="TextvysvtlivekChar"/>
    <w:rsid w:val="00B92746"/>
    <w:pPr>
      <w:spacing w:before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rsid w:val="00B92746"/>
    <w:rPr>
      <w:rFonts w:ascii="Arial" w:hAnsi="Arial" w:cs="Arial"/>
      <w:lang w:eastAsia="cs-CZ"/>
    </w:rPr>
  </w:style>
  <w:style w:type="character" w:styleId="Odkaznavysvtlivky">
    <w:name w:val="endnote reference"/>
    <w:basedOn w:val="Standardnpsmoodstavce"/>
    <w:rsid w:val="00B92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stefc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mail.ws.fidelity.ch/HL0031a0EAwQrV90ZPM00V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65CC-6769-4C60-A609-549DCC6B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1530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10541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Markéta Damková</cp:lastModifiedBy>
  <cp:revision>5</cp:revision>
  <cp:lastPrinted>2015-12-01T02:29:00Z</cp:lastPrinted>
  <dcterms:created xsi:type="dcterms:W3CDTF">2020-06-16T07:22:00Z</dcterms:created>
  <dcterms:modified xsi:type="dcterms:W3CDTF">2020-06-16T12:08:00Z</dcterms:modified>
</cp:coreProperties>
</file>